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81CA" w14:textId="2F79433D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006DD4">
        <w:rPr>
          <w:rFonts w:eastAsia="Calibri" w:cs="Calibri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5752" wp14:editId="7FC3CEA9">
                <wp:simplePos x="0" y="0"/>
                <wp:positionH relativeFrom="margin">
                  <wp:posOffset>0</wp:posOffset>
                </wp:positionH>
                <wp:positionV relativeFrom="paragraph">
                  <wp:posOffset>495300</wp:posOffset>
                </wp:positionV>
                <wp:extent cx="3372818" cy="800100"/>
                <wp:effectExtent l="0" t="0" r="18415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81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F048" w14:textId="77777777" w:rsidR="00405A08" w:rsidRDefault="00405A08" w:rsidP="00405A08">
                            <w:pPr>
                              <w:spacing w:line="489" w:lineRule="exact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HAASA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8"/>
                              </w:rPr>
                              <w:t>Competency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8"/>
                              </w:rPr>
                              <w:t>Exam</w:t>
                            </w:r>
                          </w:p>
                          <w:p w14:paraId="796AD3FE" w14:textId="3F242646" w:rsidR="00405A08" w:rsidRDefault="00405A08" w:rsidP="00405A08">
                            <w:pPr>
                              <w:tabs>
                                <w:tab w:val="left" w:pos="2546"/>
                                <w:tab w:val="left" w:pos="3336"/>
                              </w:tabs>
                              <w:spacing w:before="1" w:line="384" w:lineRule="exact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 xml:space="preserve">NFORMATION FOR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XAMINEES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 xml:space="preserve"> – CASE 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57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9pt;width:265.6pt;height:6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JSrw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" filled="f" stroked="f">
                <v:textbox inset="0,0,0,0">
                  <w:txbxContent>
                    <w:p w14:paraId="460CF048" w14:textId="77777777" w:rsidR="00405A08" w:rsidRDefault="00405A08" w:rsidP="00405A08">
                      <w:pPr>
                        <w:spacing w:line="489" w:lineRule="exact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HAASA</w:t>
                      </w:r>
                      <w:r>
                        <w:rPr>
                          <w:rFonts w:ascii="Calibri"/>
                          <w:b/>
                          <w:spacing w:val="-13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8"/>
                        </w:rPr>
                        <w:t>Competency</w:t>
                      </w:r>
                      <w:r>
                        <w:rPr>
                          <w:rFonts w:ascii="Calibri"/>
                          <w:b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8"/>
                        </w:rPr>
                        <w:t>Exam</w:t>
                      </w:r>
                    </w:p>
                    <w:p w14:paraId="796AD3FE" w14:textId="3F242646" w:rsidR="00405A08" w:rsidRDefault="00405A08" w:rsidP="00405A08">
                      <w:pPr>
                        <w:tabs>
                          <w:tab w:val="left" w:pos="2546"/>
                          <w:tab w:val="left" w:pos="3336"/>
                        </w:tabs>
                        <w:spacing w:before="1" w:line="384" w:lineRule="exact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 xml:space="preserve">NFORMATION FOR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XAMINEES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 xml:space="preserve"> – CASE STUDY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6DD4">
        <w:rPr>
          <w:rFonts w:eastAsia="Calibri" w:cs="Calibri"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DC1C7D" wp14:editId="383D9AE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04290" cy="127571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757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5E32530" w14:textId="76165A08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5288DC91" w14:textId="678283A9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1501D432" w14:textId="023647ED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14:paraId="777206B1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5E20F67" w14:textId="22BF2328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Dear students and supervisors,</w:t>
      </w:r>
    </w:p>
    <w:p w14:paraId="19B475D3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7A382E74" w14:textId="7DCD0C1F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In this article, the members of the Exam Panel share valuable information about the Case Studies which are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required during the exam process. If you are planning to submit yourself to the exam process, we would ask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that you carefully read this article and act on it if necessary.</w:t>
      </w:r>
    </w:p>
    <w:p w14:paraId="418834BF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585B20A9" w14:textId="3E56ECB6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006DD4">
        <w:rPr>
          <w:rFonts w:cs="Arial-BoldMT"/>
          <w:b/>
          <w:bCs/>
          <w:color w:val="000000"/>
          <w:sz w:val="24"/>
          <w:szCs w:val="24"/>
        </w:rPr>
        <w:t>Purpose and Process:</w:t>
      </w:r>
    </w:p>
    <w:p w14:paraId="27C3C7E1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36250F9C" w14:textId="6DAE77F8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The point in appearing before the Exam Panel is to demonstrate to the examiners that the Student has acquired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proofErr w:type="gramStart"/>
      <w:r w:rsidRPr="00006DD4">
        <w:rPr>
          <w:rFonts w:cs="Tahoma"/>
          <w:color w:val="000000"/>
          <w:sz w:val="24"/>
          <w:szCs w:val="24"/>
        </w:rPr>
        <w:t>sufficient</w:t>
      </w:r>
      <w:proofErr w:type="gramEnd"/>
      <w:r w:rsidRPr="00006DD4">
        <w:rPr>
          <w:rFonts w:cs="Tahoma"/>
          <w:color w:val="000000"/>
          <w:sz w:val="24"/>
          <w:szCs w:val="24"/>
        </w:rPr>
        <w:t xml:space="preserve"> knowledge to make a variety of clinical judgments on behalf of and in co-operation with their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client. During the process, the Student is required to sit a written exam and later present two Case Studies.</w:t>
      </w:r>
    </w:p>
    <w:p w14:paraId="593D49A5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0503BFCD" w14:textId="1777C6FE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The Exam Panel will use the supplied Case Studies to engage the student in a conversation that aims to evaluate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the breadth and depth of knowledge required to dispense hearing instruments unsupervised so that the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Student is eligible to become a Full Member of HAASA.</w:t>
      </w:r>
    </w:p>
    <w:p w14:paraId="718DB36D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7BE1CF65" w14:textId="6919CAA0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006DD4">
        <w:rPr>
          <w:rFonts w:cs="Arial-BoldMT"/>
          <w:b/>
          <w:bCs/>
          <w:color w:val="000000"/>
          <w:sz w:val="24"/>
          <w:szCs w:val="24"/>
        </w:rPr>
        <w:t>Required Content of the Case Studies:</w:t>
      </w:r>
    </w:p>
    <w:p w14:paraId="1D7F397D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6597144C" w14:textId="35F746B5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 xml:space="preserve">A clinician should have </w:t>
      </w:r>
      <w:proofErr w:type="gramStart"/>
      <w:r w:rsidRPr="00006DD4">
        <w:rPr>
          <w:rFonts w:cs="Tahoma"/>
          <w:color w:val="000000"/>
          <w:sz w:val="24"/>
          <w:szCs w:val="24"/>
        </w:rPr>
        <w:t>sufficient</w:t>
      </w:r>
      <w:proofErr w:type="gramEnd"/>
      <w:r w:rsidRPr="00006DD4">
        <w:rPr>
          <w:rFonts w:cs="Tahoma"/>
          <w:color w:val="000000"/>
          <w:sz w:val="24"/>
          <w:szCs w:val="24"/>
        </w:rPr>
        <w:t xml:space="preserve"> exposure to an array of devices that ensure that their client has a choice not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only in the style but also various technologies. Case studies must, therefore, contain different hearing device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manufacturers, i.e., both case studies CANNOT have the same device manufacturer. As a practitioner, it is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incumbent on them to provide a variety of devices to their client.</w:t>
      </w:r>
    </w:p>
    <w:p w14:paraId="6A60578E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4F5635E8" w14:textId="20838ED2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Case studies must also contain different types of fittings. For example, if the Student has used BTE’s for both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case studies then both CANNOT have a dome style coupling, whether one is a thin tube and other is a RIC/RITE is irrelevant. One of the studies needs to be a custom fitting. Preferably, one of the case studies would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be an ITE or ITC. The student must be able to demonstrate their clinical judgment in determining why they</w:t>
      </w:r>
    </w:p>
    <w:p w14:paraId="395EDE12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chose the device as opposed to another device.</w:t>
      </w:r>
    </w:p>
    <w:p w14:paraId="077A3BBF" w14:textId="2109358A" w:rsidR="00405A08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This might include, but is not limited to:</w:t>
      </w:r>
    </w:p>
    <w:p w14:paraId="7957B689" w14:textId="3502A9F2" w:rsidR="00006DD4" w:rsidRDefault="00006DD4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7752D4BE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• gain and output requirements</w:t>
      </w:r>
    </w:p>
    <w:p w14:paraId="3FB86C5E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• microphone array performance</w:t>
      </w:r>
    </w:p>
    <w:p w14:paraId="212228FE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lastRenderedPageBreak/>
        <w:t>• adaptive parameters</w:t>
      </w:r>
    </w:p>
    <w:p w14:paraId="368B5FC2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• user controls</w:t>
      </w:r>
    </w:p>
    <w:p w14:paraId="1BE553E5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• compatibility with other devices</w:t>
      </w:r>
    </w:p>
    <w:p w14:paraId="47D0376E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• size and shape</w:t>
      </w:r>
    </w:p>
    <w:p w14:paraId="6719DDC6" w14:textId="26FC7139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65DD74F" w14:textId="70CD5705" w:rsidR="00405A08" w:rsidRPr="00006DD4" w:rsidRDefault="00405A08" w:rsidP="00006DD4">
      <w:pPr>
        <w:rPr>
          <w:rFonts w:cs="Arial-BoldMT"/>
          <w:b/>
          <w:bCs/>
          <w:color w:val="000000"/>
          <w:sz w:val="24"/>
          <w:szCs w:val="24"/>
        </w:rPr>
      </w:pPr>
      <w:r w:rsidRPr="00006DD4">
        <w:rPr>
          <w:rFonts w:cs="Arial-BoldMT"/>
          <w:b/>
          <w:bCs/>
          <w:color w:val="000000"/>
          <w:sz w:val="24"/>
          <w:szCs w:val="24"/>
        </w:rPr>
        <w:t>A few Tips from our Experience:</w:t>
      </w:r>
    </w:p>
    <w:p w14:paraId="757A2AC7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14:paraId="17DB4899" w14:textId="668B5163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A Student’s decision to dispense one device over another should NOT be based on what their supervisor dispenses.</w:t>
      </w:r>
      <w:r w:rsidRPr="00006DD4">
        <w:rPr>
          <w:rFonts w:cs="Tahoma"/>
          <w:color w:val="000000"/>
          <w:sz w:val="24"/>
          <w:szCs w:val="24"/>
        </w:rPr>
        <w:t xml:space="preserve">  </w:t>
      </w:r>
      <w:r w:rsidRPr="00006DD4">
        <w:rPr>
          <w:rFonts w:cs="Tahoma"/>
          <w:color w:val="000000"/>
          <w:sz w:val="24"/>
          <w:szCs w:val="24"/>
        </w:rPr>
        <w:t xml:space="preserve">This does not demonstrate the Student’s clinical judgment. While we are </w:t>
      </w:r>
      <w:proofErr w:type="gramStart"/>
      <w:r w:rsidRPr="00006DD4">
        <w:rPr>
          <w:rFonts w:cs="Tahoma"/>
          <w:color w:val="000000"/>
          <w:sz w:val="24"/>
          <w:szCs w:val="24"/>
        </w:rPr>
        <w:t>well aware</w:t>
      </w:r>
      <w:proofErr w:type="gramEnd"/>
      <w:r w:rsidRPr="00006DD4">
        <w:rPr>
          <w:rFonts w:cs="Tahoma"/>
          <w:color w:val="000000"/>
          <w:sz w:val="24"/>
          <w:szCs w:val="24"/>
        </w:rPr>
        <w:t xml:space="preserve"> of the fact, that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the Supervisor’s portfolio influences the Student’s decision this cannot be the sole reason for a recommendation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or choice of a device and cannot be used as an explanation.</w:t>
      </w:r>
    </w:p>
    <w:p w14:paraId="09BE40EC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0EEBEFCE" w14:textId="3217A05D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Additionally, we recommend that Students avoid phrases such as “I chose the product because it had a program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button." Instead, it is required that the student explains why a program button was essential in helping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their client achieve their hearing goals.</w:t>
      </w:r>
    </w:p>
    <w:p w14:paraId="4F6FD697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021ABAFF" w14:textId="3CFFB16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Further, the Exam Panel often focuses on the basic skills of understanding and adjusting the physical acoustic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parameters of a hearing solution and verification techniques of such. The examiners expect to see that the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Student has appropriate knowledge of the acoustic effects of vents, domes and other characteristics of acoustic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couplings.</w:t>
      </w:r>
      <w:r w:rsidRPr="00006DD4">
        <w:rPr>
          <w:rFonts w:cs="Tahoma"/>
          <w:color w:val="000000"/>
          <w:sz w:val="24"/>
          <w:szCs w:val="24"/>
        </w:rPr>
        <w:t xml:space="preserve"> </w:t>
      </w:r>
    </w:p>
    <w:p w14:paraId="3845870C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568479B7" w14:textId="5E5AADE6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We strongly recommend that Students pay attention to the following summary of requirements:</w:t>
      </w:r>
    </w:p>
    <w:p w14:paraId="57CE48E3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7637" w:rsidRPr="00006DD4" w14:paraId="039E272E" w14:textId="77777777" w:rsidTr="00757637">
        <w:tc>
          <w:tcPr>
            <w:tcW w:w="3005" w:type="dxa"/>
          </w:tcPr>
          <w:p w14:paraId="1AEDE263" w14:textId="68EB200C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b/>
                <w:bCs/>
                <w:color w:val="000000"/>
                <w:sz w:val="24"/>
                <w:szCs w:val="24"/>
              </w:rPr>
              <w:t>Required</w:t>
            </w:r>
          </w:p>
        </w:tc>
        <w:tc>
          <w:tcPr>
            <w:tcW w:w="3005" w:type="dxa"/>
          </w:tcPr>
          <w:p w14:paraId="3312A936" w14:textId="1963A27C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b/>
                <w:bCs/>
                <w:color w:val="000000"/>
                <w:sz w:val="24"/>
                <w:szCs w:val="24"/>
              </w:rPr>
              <w:t>Avoid</w:t>
            </w:r>
          </w:p>
        </w:tc>
        <w:tc>
          <w:tcPr>
            <w:tcW w:w="3006" w:type="dxa"/>
          </w:tcPr>
          <w:p w14:paraId="6DF24DC3" w14:textId="6D5F24D5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</w:tr>
      <w:tr w:rsidR="00757637" w:rsidRPr="00006DD4" w14:paraId="4EFC3A94" w14:textId="77777777" w:rsidTr="00757637">
        <w:tc>
          <w:tcPr>
            <w:tcW w:w="3005" w:type="dxa"/>
          </w:tcPr>
          <w:p w14:paraId="6551D491" w14:textId="591BAF5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Two different Audiograms with one of them being asymmetrical</w:t>
            </w:r>
          </w:p>
        </w:tc>
        <w:tc>
          <w:tcPr>
            <w:tcW w:w="3005" w:type="dxa"/>
          </w:tcPr>
          <w:p w14:paraId="0F54BC1C" w14:textId="18FDB72E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Two cases with very similar Audiograms</w:t>
            </w:r>
          </w:p>
        </w:tc>
        <w:tc>
          <w:tcPr>
            <w:tcW w:w="3006" w:type="dxa"/>
          </w:tcPr>
          <w:p w14:paraId="40C13432" w14:textId="701E7B03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One of the cases should include a conductive component</w:t>
            </w:r>
          </w:p>
        </w:tc>
      </w:tr>
      <w:tr w:rsidR="00757637" w:rsidRPr="00006DD4" w14:paraId="3315B681" w14:textId="77777777" w:rsidTr="00757637">
        <w:tc>
          <w:tcPr>
            <w:tcW w:w="3005" w:type="dxa"/>
          </w:tcPr>
          <w:p w14:paraId="3D60267E" w14:textId="6639964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Two different device manufacture</w:t>
            </w:r>
            <w:r w:rsidR="00285486">
              <w:rPr>
                <w:rFonts w:cs="Tahoma"/>
                <w:color w:val="000000"/>
                <w:sz w:val="24"/>
                <w:szCs w:val="24"/>
              </w:rPr>
              <w:t>r</w:t>
            </w:r>
            <w:r w:rsidRPr="00006DD4">
              <w:rPr>
                <w:rFonts w:cs="Tahoma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05" w:type="dxa"/>
          </w:tcPr>
          <w:p w14:paraId="2CB18ABD" w14:textId="7A1FA643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Two manufacturers with shared fitting software (</w:t>
            </w:r>
            <w:proofErr w:type="spellStart"/>
            <w:r w:rsidRPr="00006DD4">
              <w:rPr>
                <w:rFonts w:cs="Tahoma"/>
                <w:color w:val="000000"/>
                <w:sz w:val="24"/>
                <w:szCs w:val="24"/>
              </w:rPr>
              <w:t>eg</w:t>
            </w:r>
            <w:proofErr w:type="spellEnd"/>
            <w:r w:rsidRPr="00006DD4">
              <w:rPr>
                <w:rFonts w:cs="Tahoma"/>
                <w:color w:val="000000"/>
                <w:sz w:val="24"/>
                <w:szCs w:val="24"/>
              </w:rPr>
              <w:t xml:space="preserve"> Connex)</w:t>
            </w:r>
          </w:p>
        </w:tc>
        <w:tc>
          <w:tcPr>
            <w:tcW w:w="3006" w:type="dxa"/>
          </w:tcPr>
          <w:p w14:paraId="32243BC5" w14:textId="7777777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57637" w:rsidRPr="00006DD4" w14:paraId="19C14AE6" w14:textId="77777777" w:rsidTr="00757637">
        <w:tc>
          <w:tcPr>
            <w:tcW w:w="3005" w:type="dxa"/>
          </w:tcPr>
          <w:p w14:paraId="630746B5" w14:textId="733CEDB1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At least one custom mould fitting</w:t>
            </w:r>
          </w:p>
        </w:tc>
        <w:tc>
          <w:tcPr>
            <w:tcW w:w="3005" w:type="dxa"/>
          </w:tcPr>
          <w:p w14:paraId="29307169" w14:textId="58D6325D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Two RIC/Slim Tube dome fittings</w:t>
            </w:r>
          </w:p>
        </w:tc>
        <w:tc>
          <w:tcPr>
            <w:tcW w:w="3006" w:type="dxa"/>
          </w:tcPr>
          <w:p w14:paraId="5BE1D502" w14:textId="7777777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 xml:space="preserve">One BTE case </w:t>
            </w:r>
          </w:p>
          <w:p w14:paraId="427B92F3" w14:textId="415102B6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One ITE/ITC case</w:t>
            </w:r>
          </w:p>
        </w:tc>
      </w:tr>
      <w:tr w:rsidR="00757637" w:rsidRPr="00006DD4" w14:paraId="734EFA52" w14:textId="77777777" w:rsidTr="00757637">
        <w:tc>
          <w:tcPr>
            <w:tcW w:w="3005" w:type="dxa"/>
          </w:tcPr>
          <w:p w14:paraId="27630C22" w14:textId="3941C9D5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Supervisor’s Name and Signature</w:t>
            </w:r>
          </w:p>
        </w:tc>
        <w:tc>
          <w:tcPr>
            <w:tcW w:w="3005" w:type="dxa"/>
          </w:tcPr>
          <w:p w14:paraId="1DD53F22" w14:textId="7777777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E3B978" w14:textId="53C16C6E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757637" w:rsidRPr="00006DD4" w14:paraId="5BA005E0" w14:textId="77777777" w:rsidTr="00757637">
        <w:tc>
          <w:tcPr>
            <w:tcW w:w="3005" w:type="dxa"/>
          </w:tcPr>
          <w:p w14:paraId="37E611CD" w14:textId="514EF6AB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Full sets of REM results before and after adjustments</w:t>
            </w:r>
          </w:p>
        </w:tc>
        <w:tc>
          <w:tcPr>
            <w:tcW w:w="3005" w:type="dxa"/>
          </w:tcPr>
          <w:p w14:paraId="1045C29D" w14:textId="2FFB9492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Submitting incomplete measurements</w:t>
            </w:r>
          </w:p>
        </w:tc>
        <w:tc>
          <w:tcPr>
            <w:tcW w:w="3006" w:type="dxa"/>
          </w:tcPr>
          <w:p w14:paraId="5F47AC0B" w14:textId="7E11635D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G50/65/80 and MPO Sweep</w:t>
            </w:r>
          </w:p>
        </w:tc>
      </w:tr>
      <w:tr w:rsidR="00757637" w:rsidRPr="00006DD4" w14:paraId="3A34BDDB" w14:textId="77777777" w:rsidTr="00757637">
        <w:tc>
          <w:tcPr>
            <w:tcW w:w="3005" w:type="dxa"/>
          </w:tcPr>
          <w:p w14:paraId="250E4116" w14:textId="23455E1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Written explanation of why devices were chosen</w:t>
            </w:r>
          </w:p>
        </w:tc>
        <w:tc>
          <w:tcPr>
            <w:tcW w:w="3005" w:type="dxa"/>
          </w:tcPr>
          <w:p w14:paraId="2EE3B33F" w14:textId="7777777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6051F3" w14:textId="28123CD3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Document the decision-making process and name other options</w:t>
            </w:r>
          </w:p>
        </w:tc>
      </w:tr>
      <w:tr w:rsidR="00757637" w:rsidRPr="00006DD4" w14:paraId="45774F1F" w14:textId="77777777" w:rsidTr="00757637">
        <w:tc>
          <w:tcPr>
            <w:tcW w:w="3005" w:type="dxa"/>
          </w:tcPr>
          <w:p w14:paraId="146447AA" w14:textId="4CB010A9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>Written reasoning of why changes to the fitting/parameters/moulds were made</w:t>
            </w:r>
          </w:p>
        </w:tc>
        <w:tc>
          <w:tcPr>
            <w:tcW w:w="3005" w:type="dxa"/>
          </w:tcPr>
          <w:p w14:paraId="661DF4B6" w14:textId="77777777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41CD8D" w14:textId="31AAC8F8" w:rsidR="00757637" w:rsidRPr="00006DD4" w:rsidRDefault="00757637" w:rsidP="00405A08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006DD4">
              <w:rPr>
                <w:rFonts w:cs="Tahoma"/>
                <w:color w:val="000000"/>
                <w:sz w:val="24"/>
                <w:szCs w:val="24"/>
              </w:rPr>
              <w:t xml:space="preserve">Explain how the changes affect the client’s outcome and provide background </w:t>
            </w:r>
            <w:r w:rsidR="00801D51" w:rsidRPr="00006DD4">
              <w:rPr>
                <w:rFonts w:cs="Tahoma"/>
                <w:color w:val="000000"/>
                <w:sz w:val="24"/>
                <w:szCs w:val="24"/>
              </w:rPr>
              <w:t>information</w:t>
            </w:r>
          </w:p>
        </w:tc>
        <w:bookmarkStart w:id="0" w:name="_GoBack"/>
        <w:bookmarkEnd w:id="0"/>
      </w:tr>
    </w:tbl>
    <w:p w14:paraId="220A7F03" w14:textId="77777777" w:rsidR="00757637" w:rsidRPr="00006DD4" w:rsidRDefault="00757637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21738479" w14:textId="77777777" w:rsidR="00757637" w:rsidRPr="00006DD4" w:rsidRDefault="00757637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44E35E13" w14:textId="3A34A21E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 xml:space="preserve">The exam process is designed so that the Student has </w:t>
      </w:r>
      <w:proofErr w:type="gramStart"/>
      <w:r w:rsidRPr="00006DD4">
        <w:rPr>
          <w:rFonts w:cs="Tahoma"/>
          <w:color w:val="000000"/>
          <w:sz w:val="24"/>
          <w:szCs w:val="24"/>
        </w:rPr>
        <w:t>sufficient</w:t>
      </w:r>
      <w:proofErr w:type="gramEnd"/>
      <w:r w:rsidRPr="00006DD4">
        <w:rPr>
          <w:rFonts w:cs="Tahoma"/>
          <w:color w:val="000000"/>
          <w:sz w:val="24"/>
          <w:szCs w:val="24"/>
        </w:rPr>
        <w:t xml:space="preserve"> time and opportunity to present their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knowledge and capability of working unsupervised. This enables the student to become a Full Member of HAASA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and apply for a QP number. HAASA has initiated a feedback process for examinee’s which can be in the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>form of a teleconference with their supervisor present or a letter which also will go to the supervisor after the</w:t>
      </w:r>
    </w:p>
    <w:p w14:paraId="619CD8F7" w14:textId="625ABE64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exam process. This can only be taken up within 30 days from your results communicated to you.</w:t>
      </w:r>
    </w:p>
    <w:p w14:paraId="4E46FDBC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471C401D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We wish all students the very best in their studies and exam preparations and encourage them and their supervisors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 xml:space="preserve">to get in touch with us if they have any questions regarding the exam process or preparation. </w:t>
      </w:r>
    </w:p>
    <w:p w14:paraId="6E4B9D82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5E10D7EB" w14:textId="532A0E34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For</w:t>
      </w:r>
      <w:r w:rsidRPr="00006DD4">
        <w:rPr>
          <w:rFonts w:cs="Tahoma"/>
          <w:color w:val="000000"/>
          <w:sz w:val="24"/>
          <w:szCs w:val="24"/>
        </w:rPr>
        <w:t xml:space="preserve"> </w:t>
      </w:r>
      <w:r w:rsidRPr="00006DD4">
        <w:rPr>
          <w:rFonts w:cs="Tahoma"/>
          <w:color w:val="000000"/>
          <w:sz w:val="24"/>
          <w:szCs w:val="24"/>
        </w:rPr>
        <w:t xml:space="preserve">any questions, please contact the </w:t>
      </w:r>
      <w:r w:rsidRPr="00006DD4">
        <w:rPr>
          <w:rFonts w:cs="Tahoma"/>
          <w:color w:val="000000"/>
          <w:sz w:val="24"/>
          <w:szCs w:val="24"/>
        </w:rPr>
        <w:t>Executive Board Administration Officer</w:t>
      </w:r>
      <w:r w:rsidRPr="00006DD4">
        <w:rPr>
          <w:rFonts w:cs="Tahoma"/>
          <w:color w:val="000000"/>
          <w:sz w:val="24"/>
          <w:szCs w:val="24"/>
        </w:rPr>
        <w:t xml:space="preserve"> via the email </w:t>
      </w:r>
      <w:hyperlink r:id="rId5" w:history="1">
        <w:r w:rsidRPr="00006DD4">
          <w:rPr>
            <w:rStyle w:val="Hyperlink"/>
            <w:rFonts w:cs="Tahoma"/>
            <w:sz w:val="24"/>
            <w:szCs w:val="24"/>
          </w:rPr>
          <w:t>haasa@haasa.org.au</w:t>
        </w:r>
      </w:hyperlink>
      <w:r w:rsidRPr="00006DD4">
        <w:rPr>
          <w:rFonts w:cs="Tahoma"/>
          <w:color w:val="000000"/>
          <w:sz w:val="24"/>
          <w:szCs w:val="24"/>
        </w:rPr>
        <w:t>.</w:t>
      </w:r>
    </w:p>
    <w:p w14:paraId="64ECB8B4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473839FF" w14:textId="46C61562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006DD4">
        <w:rPr>
          <w:rFonts w:cs="Tahoma"/>
          <w:color w:val="000000"/>
          <w:sz w:val="24"/>
          <w:szCs w:val="24"/>
        </w:rPr>
        <w:t>With best wishes, the Exam Panel of HAASA</w:t>
      </w:r>
    </w:p>
    <w:p w14:paraId="382F36BB" w14:textId="06536D84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499D22AA" w14:textId="2C47B910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56936477" w14:textId="77777777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779507F3" w14:textId="0F0BD7DE" w:rsidR="00405A08" w:rsidRPr="00006DD4" w:rsidRDefault="00405A08" w:rsidP="00405A08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sectPr w:rsidR="00405A08" w:rsidRPr="0000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08"/>
    <w:rsid w:val="00006DD4"/>
    <w:rsid w:val="00285486"/>
    <w:rsid w:val="00405A08"/>
    <w:rsid w:val="00757637"/>
    <w:rsid w:val="00801D51"/>
    <w:rsid w:val="008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E0C6"/>
  <w15:chartTrackingRefBased/>
  <w15:docId w15:val="{F62B0A95-EFFB-4B90-833B-F6D31E7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asa@haasa.org.a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DE340CAAEC41A0DEEABF1C753908" ma:contentTypeVersion="10" ma:contentTypeDescription="Create a new document." ma:contentTypeScope="" ma:versionID="cac42ebacfea78ab0bc804bd8049c93a">
  <xsd:schema xmlns:xsd="http://www.w3.org/2001/XMLSchema" xmlns:xs="http://www.w3.org/2001/XMLSchema" xmlns:p="http://schemas.microsoft.com/office/2006/metadata/properties" xmlns:ns2="360b7cf4-0893-4922-8123-79739e94076d" xmlns:ns3="0810b2a0-27c2-4f8e-a77e-5ef11518f913" targetNamespace="http://schemas.microsoft.com/office/2006/metadata/properties" ma:root="true" ma:fieldsID="301c07c2adac204d82bc3d9e31c228a1" ns2:_="" ns3:_="">
    <xsd:import namespace="360b7cf4-0893-4922-8123-79739e94076d"/>
    <xsd:import namespace="0810b2a0-27c2-4f8e-a77e-5ef11518f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7cf4-0893-4922-8123-79739e94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b2a0-27c2-4f8e-a77e-5ef11518f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3EFA9-D436-48E8-8FC6-90BBDCD204A0}"/>
</file>

<file path=customXml/itemProps2.xml><?xml version="1.0" encoding="utf-8"?>
<ds:datastoreItem xmlns:ds="http://schemas.openxmlformats.org/officeDocument/2006/customXml" ds:itemID="{CAD611C6-10EF-46EF-A420-818BABE295AC}"/>
</file>

<file path=customXml/itemProps3.xml><?xml version="1.0" encoding="utf-8"?>
<ds:datastoreItem xmlns:ds="http://schemas.openxmlformats.org/officeDocument/2006/customXml" ds:itemID="{A0A0F6EC-B3FF-4E05-B091-439A3205B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HAASA Secretariat</dc:creator>
  <cp:keywords/>
  <dc:description/>
  <cp:lastModifiedBy>HAASA Secretariat</cp:lastModifiedBy>
  <cp:revision>3</cp:revision>
  <dcterms:created xsi:type="dcterms:W3CDTF">2019-09-02T03:47:00Z</dcterms:created>
  <dcterms:modified xsi:type="dcterms:W3CDTF">2019-09-02T04:18:00Z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0x010100E888DE340CAAEC41A0DEEABF1C753908</vt:lpwstr>
  </property>
</Properties>
</file>